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1"/>
        <w:rPr/>
      </w:pPr>
      <w:r>
        <w:rPr/>
        <mc:AlternateContent>
          <mc:Choice Requires="wps">
            <w:drawing>
              <wp:anchor behindDoc="1" distT="0" distB="0" distL="0" distR="0" simplePos="0" locked="0" layoutInCell="0" allowOverlap="1" relativeHeight="12">
                <wp:simplePos x="0" y="0"/>
                <wp:positionH relativeFrom="column">
                  <wp:posOffset>3441700</wp:posOffset>
                </wp:positionH>
                <wp:positionV relativeFrom="paragraph">
                  <wp:posOffset>-939800</wp:posOffset>
                </wp:positionV>
                <wp:extent cx="2527300" cy="1029335"/>
                <wp:effectExtent l="0" t="0" r="0" b="0"/>
                <wp:wrapNone/>
                <wp:docPr id="1" name="Imagen1"/>
                <a:graphic xmlns:a="http://schemas.openxmlformats.org/drawingml/2006/main">
                  <a:graphicData uri="http://schemas.microsoft.com/office/word/2010/wordprocessingShape">
                    <wps:wsp>
                      <wps:cNvSpPr/>
                      <wps:spPr>
                        <a:xfrm>
                          <a:off x="0" y="0"/>
                          <a:ext cx="2526840" cy="1028880"/>
                        </a:xfrm>
                        <a:prstGeom prst="rect">
                          <a:avLst/>
                        </a:prstGeom>
                        <a:solidFill>
                          <a:srgbClr val="ffffff"/>
                        </a:solidFill>
                        <a:ln w="0">
                          <a:noFill/>
                        </a:ln>
                      </wps:spPr>
                      <wps:style>
                        <a:lnRef idx="0"/>
                        <a:fillRef idx="0"/>
                        <a:effectRef idx="0"/>
                        <a:fontRef idx="minor"/>
                      </wps:style>
                      <wps:txb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**RAD_S**</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*F_RAD_S*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*TRD_S*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*RAD_E_PADRE*</w:t>
                            </w:r>
                          </w:p>
                        </w:txbxContent>
                      </wps:txbx>
                      <wps:bodyPr lIns="0" rIns="0" tIns="0" bIns="0">
                        <a:noAutofit/>
                      </wps:bodyPr>
                    </wps:wsp>
                  </a:graphicData>
                </a:graphic>
              </wp:anchor>
            </w:drawing>
          </mc:Choice>
          <mc:Fallback>
            <w:pict>
              <v:rect id="shape_0" ID="Imagen1" fillcolor="white" stroked="f" style="position:absolute;margin-left:271pt;margin-top:-74pt;width:198.9pt;height:80.95pt;mso-wrap-style:square;v-text-anchor:top">
                <v:fill o:detectmouseclick="t" type="solid" color2="black"/>
                <v:stroke color="#3465a4" joinstyle="round" endcap="flat"/>
                <v:textbo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**RAD_S**</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*F_RAD_S*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*TRD_S*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*RAD_E_PADRE*</w:t>
                      </w:r>
                    </w:p>
                  </w:txbxContent>
                </v:textbox>
                <w10:wrap type="none"/>
              </v:rect>
            </w:pict>
          </mc:Fallback>
        </mc:AlternateContent>
      </w:r>
    </w:p>
    <w:p>
      <w:pPr>
        <w:pStyle w:val="Normal1"/>
        <w:tabs>
          <w:tab w:val="clear" w:pos="720"/>
          <w:tab w:val="right" w:pos="9404" w:leader="none"/>
        </w:tabs>
        <w:jc w:val="both"/>
        <w:rPr>
          <w:rFonts w:ascii="Arial" w:hAnsi="Arial" w:eastAsia="Arial" w:cs="Arial"/>
        </w:rPr>
      </w:pPr>
      <w:r>
        <w:rPr>
          <w:rFonts w:eastAsia="Arial" w:cs="Arial" w:ascii="Arial" w:hAnsi="Arial"/>
        </w:rPr>
        <w:t>LUIS FELIPE GARCÍA ALADÍN</w:t>
      </w:r>
    </w:p>
    <w:p>
      <w:pPr>
        <w:pStyle w:val="Normal1"/>
        <w:tabs>
          <w:tab w:val="clear" w:pos="720"/>
          <w:tab w:val="right" w:pos="9404" w:leader="none"/>
        </w:tabs>
        <w:jc w:val="both"/>
        <w:rPr>
          <w:shd w:fill="auto" w:val="clear"/>
        </w:rPr>
      </w:pPr>
      <w:r>
        <w:rPr>
          <w:rFonts w:eastAsia="Arial" w:cs="Arial" w:ascii="Arial" w:hAnsi="Arial"/>
          <w:shd w:fill="auto" w:val="clear"/>
        </w:rPr>
        <w:t xml:space="preserve">Director de Operaciones </w:t>
      </w:r>
    </w:p>
    <w:p>
      <w:pPr>
        <w:pStyle w:val="Normal1"/>
        <w:jc w:val="both"/>
        <w:rPr>
          <w:shd w:fill="auto" w:val="clear"/>
        </w:rPr>
      </w:pPr>
      <w:r>
        <w:rPr>
          <w:rFonts w:eastAsia="Arial" w:cs="Arial" w:ascii="Arial" w:hAnsi="Arial"/>
          <w:shd w:fill="auto" w:val="clear"/>
        </w:rPr>
        <w:t>Metro Cali S.A. Acuerdo de reestructuración</w:t>
      </w:r>
    </w:p>
    <w:p>
      <w:pPr>
        <w:pStyle w:val="Normal1"/>
        <w:jc w:val="both"/>
        <w:rPr>
          <w:shd w:fill="auto" w:val="clear"/>
        </w:rPr>
      </w:pPr>
      <w:r>
        <w:rPr>
          <w:rFonts w:eastAsia="Arial" w:cs="Arial" w:ascii="Arial" w:hAnsi="Arial"/>
          <w:shd w:fill="auto" w:val="clear"/>
        </w:rPr>
        <w:t>ventanillaunica@metrocali.gov.co</w:t>
      </w:r>
    </w:p>
    <w:p>
      <w:pPr>
        <w:pStyle w:val="Normal1"/>
        <w:jc w:val="both"/>
        <w:rPr>
          <w:rFonts w:ascii="Arial" w:hAnsi="Arial" w:eastAsia="Arial" w:cs="Arial"/>
        </w:rPr>
      </w:pPr>
      <w:r>
        <w:rPr>
          <w:rFonts w:eastAsia="Arial" w:cs="Arial" w:ascii="Arial" w:hAnsi="Arial"/>
        </w:rPr>
      </w:r>
    </w:p>
    <w:p>
      <w:pPr>
        <w:pStyle w:val="Normal1"/>
        <w:widowControl/>
        <w:jc w:val="both"/>
        <w:rPr>
          <w:rFonts w:ascii="Arial" w:hAnsi="Arial" w:eastAsia="Arial" w:cs="Arial"/>
        </w:rPr>
      </w:pPr>
      <w:r>
        <w:rPr>
          <w:rFonts w:eastAsia="Arial" w:cs="Arial" w:ascii="Arial" w:hAnsi="Arial"/>
        </w:rPr>
        <w:t>Asunto: Respuesta de solicitud_Traslado por competencia preocupación por presencia y exposición del zancudo del dengue, chikungunya y zika en los sectores aledaños a la Universidad Libre Seccional Cali.</w:t>
      </w:r>
    </w:p>
    <w:p>
      <w:pPr>
        <w:pStyle w:val="Normal1"/>
        <w:widowControl/>
        <w:jc w:val="both"/>
        <w:rPr>
          <w:rFonts w:ascii="Arial" w:hAnsi="Arial" w:eastAsia="Arial" w:cs="Arial"/>
        </w:rPr>
      </w:pPr>
      <w:r>
        <w:rPr>
          <w:rFonts w:eastAsia="Arial" w:cs="Arial" w:ascii="Arial" w:hAnsi="Arial"/>
        </w:rPr>
      </w:r>
    </w:p>
    <w:p>
      <w:pPr>
        <w:pStyle w:val="Normal1"/>
        <w:widowControl/>
        <w:jc w:val="both"/>
        <w:rPr>
          <w:rFonts w:ascii="Arial" w:hAnsi="Arial" w:eastAsia="Arial" w:cs="Arial"/>
        </w:rPr>
      </w:pPr>
      <w:r>
        <w:rPr>
          <w:rFonts w:eastAsia="Arial" w:cs="Arial" w:ascii="Arial" w:hAnsi="Arial"/>
          <w:highlight w:val="white"/>
        </w:rPr>
        <w:t>Cordial Sa</w:t>
      </w:r>
      <w:r>
        <w:rPr>
          <w:rFonts w:eastAsia="Arial" w:cs="Arial" w:ascii="Arial" w:hAnsi="Arial"/>
        </w:rPr>
        <w:t>ludo,</w:t>
      </w:r>
    </w:p>
    <w:p>
      <w:pPr>
        <w:pStyle w:val="Normal1"/>
        <w:widowControl/>
        <w:jc w:val="both"/>
        <w:rPr>
          <w:rFonts w:ascii="Arial" w:hAnsi="Arial" w:eastAsia="Arial" w:cs="Arial"/>
        </w:rPr>
      </w:pPr>
      <w:r>
        <w:rPr>
          <w:rFonts w:eastAsia="Arial" w:cs="Arial" w:ascii="Arial" w:hAnsi="Arial"/>
        </w:rPr>
      </w:r>
    </w:p>
    <w:p>
      <w:pPr>
        <w:pStyle w:val="Normal1"/>
        <w:widowControl/>
        <w:jc w:val="both"/>
        <w:rPr/>
      </w:pPr>
      <w:r>
        <w:rPr>
          <w:rFonts w:eastAsia="Arial" w:cs="Arial" w:ascii="Arial" w:hAnsi="Arial"/>
          <w:highlight w:val="white"/>
        </w:rPr>
        <w:t xml:space="preserve">En respuesta a su solicitud No.202441730100929752, me permito darle a conocer que de acuerdo con los lineamientos técnicos  para el Manejo Integrado de Vectores, de la Organización Panamericana de la Salud y 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1"/>
        <w:tabs>
          <w:tab w:val="clear" w:pos="720"/>
          <w:tab w:val="left" w:pos="735" w:leader="none"/>
        </w:tabs>
        <w:jc w:val="both"/>
        <w:rPr>
          <w:rFonts w:ascii="Arial" w:hAnsi="Arial" w:eastAsia="Arial" w:cs="Arial"/>
          <w:color w:val="C9211E"/>
          <w:highlight w:val="white"/>
        </w:rPr>
      </w:pPr>
      <w:r>
        <w:rPr>
          <w:rFonts w:eastAsia="Arial" w:cs="Arial" w:ascii="Arial" w:hAnsi="Arial"/>
          <w:color w:val="C9211E"/>
          <w:highlight w:val="white"/>
        </w:rPr>
      </w:r>
    </w:p>
    <w:p>
      <w:pPr>
        <w:pStyle w:val="Normal1"/>
        <w:tabs>
          <w:tab w:val="clear" w:pos="720"/>
          <w:tab w:val="left" w:pos="735" w:leader="none"/>
        </w:tabs>
        <w:jc w:val="both"/>
        <w:rPr/>
      </w:pPr>
      <w:r>
        <w:rPr>
          <w:rFonts w:eastAsia="Arial" w:cs="Arial" w:ascii="Arial" w:hAnsi="Arial"/>
          <w:highlight w:val="white"/>
        </w:rPr>
        <w:t xml:space="preserve">De acuerdo con lo anterior, la comuna de la solicitud se fumigó con máquina pesada en los meses de marzo y octubre de 2024, específicamente los sectores Ciudad Jardín y Ciudad Campestre, donde se intervinieron 211 manzanas y cerca de 10.128 predios. Sin embargo, se debe tener en cuenta que la mejor manera de controlar la transmisión es evitar criaderos  del vector </w:t>
      </w:r>
      <w:r>
        <w:rPr>
          <w:rFonts w:eastAsia="Arial" w:cs="Arial" w:ascii="Arial" w:hAnsi="Arial"/>
          <w:i/>
          <w:highlight w:val="white"/>
        </w:rPr>
        <w:t>Aedes aegypti</w:t>
      </w:r>
      <w:r>
        <w:rPr>
          <w:rFonts w:eastAsia="Arial" w:cs="Arial" w:ascii="Arial" w:hAnsi="Arial"/>
          <w:highlight w:val="white"/>
        </w:rPr>
        <w:t>, pues la fumigación solo actúa sobre los zancudos que tengan  contacto con el insecticida, pero si hay criaderos en la vivienda, es posible que al día  siguiente haya zancudos, nuevamente.</w:t>
      </w:r>
    </w:p>
    <w:p>
      <w:pPr>
        <w:pStyle w:val="Normal1"/>
        <w:tabs>
          <w:tab w:val="clear" w:pos="720"/>
          <w:tab w:val="left" w:pos="735" w:leader="none"/>
        </w:tabs>
        <w:jc w:val="both"/>
        <w:rPr>
          <w:rFonts w:ascii="Arial" w:hAnsi="Arial" w:eastAsia="Arial" w:cs="Arial"/>
          <w:highlight w:val="white"/>
        </w:rPr>
      </w:pPr>
      <w:r>
        <w:rPr>
          <w:rFonts w:eastAsia="Arial" w:cs="Arial" w:ascii="Arial" w:hAnsi="Arial"/>
          <w:highlight w:val="white"/>
        </w:rPr>
      </w:r>
    </w:p>
    <w:p>
      <w:pPr>
        <w:pStyle w:val="Normal1"/>
        <w:spacing w:lineRule="auto" w:line="240" w:before="57" w:after="57"/>
        <w:jc w:val="both"/>
        <w:rPr>
          <w:rFonts w:ascii="Arial" w:hAnsi="Arial" w:eastAsia="Arial" w:cs="Arial"/>
        </w:rPr>
      </w:pPr>
      <w:r>
        <w:rPr>
          <w:rFonts w:eastAsia="Arial" w:cs="Arial" w:ascii="Arial" w:hAnsi="Arial"/>
        </w:rPr>
        <w:t xml:space="preserve">Además, dentro de las acciones regulares de prevención de la </w:t>
      </w:r>
      <w:r>
        <w:rPr>
          <w:rFonts w:eastAsia="Arial" w:cs="Arial" w:ascii="Arial" w:hAnsi="Arial"/>
          <w:highlight w:val="white"/>
        </w:rPr>
        <w:t>Secretaría de Salud del Distrito Especial de Santiago de Cali,</w:t>
      </w:r>
      <w:r>
        <w:rPr/>
        <w:t xml:space="preserve"> </w:t>
      </w:r>
      <w:r>
        <w:rPr>
          <w:rFonts w:eastAsia="Arial" w:cs="Arial" w:ascii="Arial" w:hAnsi="Arial"/>
        </w:rPr>
        <w:t xml:space="preserve">se realizó un ciclo quincenal de control de larvas (revisión y aplicación larvicida) en sumideros recolectores de agua lluvia en vía pública, ya que este es un depósito óptimo para la reproducción de </w:t>
      </w:r>
      <w:r>
        <w:rPr>
          <w:rFonts w:eastAsia="Arial" w:cs="Arial" w:ascii="Arial" w:hAnsi="Arial"/>
          <w:i/>
        </w:rPr>
        <w:t xml:space="preserve">Aedes aegypti </w:t>
      </w:r>
      <w:r>
        <w:rPr>
          <w:rFonts w:eastAsia="Arial" w:cs="Arial" w:ascii="Arial" w:hAnsi="Arial"/>
        </w:rPr>
        <w:t>(mosquito que puede transmitir dengue). Durante el año 2024, se tienen los siguientes resultados:</w:t>
      </w:r>
    </w:p>
    <w:p>
      <w:pPr>
        <w:pStyle w:val="Normal1"/>
        <w:spacing w:lineRule="auto" w:line="240" w:before="57" w:after="57"/>
        <w:jc w:val="both"/>
        <w:rPr>
          <w:rFonts w:ascii="Arial" w:hAnsi="Arial" w:eastAsia="Arial" w:cs="Arial"/>
        </w:rPr>
      </w:pPr>
      <w:r>
        <w:rPr>
          <w:rFonts w:eastAsia="Arial" w:cs="Arial" w:ascii="Arial" w:hAnsi="Arial"/>
        </w:rPr>
      </w:r>
    </w:p>
    <w:tbl>
      <w:tblPr>
        <w:tblStyle w:val="Table1"/>
        <w:tblW w:w="9359" w:type="dxa"/>
        <w:jc w:val="left"/>
        <w:tblInd w:w="0" w:type="dxa"/>
        <w:tblLayout w:type="fixed"/>
        <w:tblCellMar>
          <w:top w:w="55" w:type="dxa"/>
          <w:left w:w="55" w:type="dxa"/>
          <w:bottom w:w="55" w:type="dxa"/>
          <w:right w:w="55" w:type="dxa"/>
        </w:tblCellMar>
        <w:tblLook w:val="0000"/>
      </w:tblPr>
      <w:tblGrid>
        <w:gridCol w:w="2609"/>
        <w:gridCol w:w="2895"/>
        <w:gridCol w:w="1860"/>
        <w:gridCol w:w="1994"/>
      </w:tblGrid>
      <w:tr>
        <w:trPr>
          <w:tblHeader w:val="true"/>
          <w:trHeight w:val="659" w:hRule="atLeast"/>
        </w:trPr>
        <w:tc>
          <w:tcPr>
            <w:tcW w:w="2609" w:type="dxa"/>
            <w:tcBorders>
              <w:top w:val="single" w:sz="4" w:space="0" w:color="000000"/>
              <w:left w:val="single" w:sz="4" w:space="0" w:color="000000"/>
              <w:bottom w:val="single" w:sz="4" w:space="0" w:color="000000"/>
            </w:tcBorders>
            <w:shd w:fill="DEEAF6" w:val="clear"/>
            <w:vAlign w:val="center"/>
          </w:tcPr>
          <w:p>
            <w:pPr>
              <w:pStyle w:val="Normal1"/>
              <w:widowControl w:val="false"/>
              <w:spacing w:lineRule="auto" w:line="240" w:before="100" w:after="119"/>
              <w:jc w:val="center"/>
              <w:rPr>
                <w:rFonts w:ascii="Arial" w:hAnsi="Arial" w:eastAsia="Arial" w:cs="Arial"/>
                <w:b/>
                <w:b/>
                <w:sz w:val="20"/>
                <w:szCs w:val="20"/>
                <w:shd w:fill="auto" w:val="clear"/>
              </w:rPr>
            </w:pPr>
            <w:r>
              <w:rPr>
                <w:rFonts w:eastAsia="Arial" w:cs="Arial" w:ascii="Arial" w:hAnsi="Arial"/>
                <w:b/>
                <w:sz w:val="20"/>
                <w:szCs w:val="20"/>
                <w:shd w:fill="auto" w:val="clear"/>
              </w:rPr>
              <w:t>Dirección</w:t>
            </w:r>
          </w:p>
        </w:tc>
        <w:tc>
          <w:tcPr>
            <w:tcW w:w="2895" w:type="dxa"/>
            <w:tcBorders>
              <w:top w:val="single" w:sz="4" w:space="0" w:color="000000"/>
              <w:left w:val="single" w:sz="4" w:space="0" w:color="000000"/>
              <w:bottom w:val="single" w:sz="4" w:space="0" w:color="000000"/>
            </w:tcBorders>
            <w:shd w:fill="DEEAF6" w:val="clear"/>
            <w:vAlign w:val="center"/>
          </w:tcPr>
          <w:p>
            <w:pPr>
              <w:pStyle w:val="Normal1"/>
              <w:widowControl w:val="false"/>
              <w:spacing w:lineRule="auto" w:line="240" w:before="100" w:after="119"/>
              <w:jc w:val="center"/>
              <w:rPr>
                <w:rFonts w:ascii="Arial" w:hAnsi="Arial" w:eastAsia="Arial" w:cs="Arial"/>
                <w:b/>
                <w:b/>
                <w:sz w:val="20"/>
                <w:szCs w:val="20"/>
                <w:shd w:fill="auto" w:val="clear"/>
              </w:rPr>
            </w:pPr>
            <w:r>
              <w:rPr>
                <w:rFonts w:eastAsia="Arial" w:cs="Arial" w:ascii="Arial" w:hAnsi="Arial"/>
                <w:b/>
                <w:sz w:val="20"/>
                <w:szCs w:val="20"/>
                <w:shd w:fill="auto" w:val="clear"/>
              </w:rPr>
              <w:t>Barrios</w:t>
            </w:r>
          </w:p>
        </w:tc>
        <w:tc>
          <w:tcPr>
            <w:tcW w:w="1860" w:type="dxa"/>
            <w:tcBorders>
              <w:top w:val="single" w:sz="4" w:space="0" w:color="000000"/>
              <w:left w:val="single" w:sz="4" w:space="0" w:color="000000"/>
              <w:bottom w:val="single" w:sz="4" w:space="0" w:color="000000"/>
            </w:tcBorders>
            <w:shd w:fill="DEEAF6" w:val="clear"/>
            <w:vAlign w:val="center"/>
          </w:tcPr>
          <w:p>
            <w:pPr>
              <w:pStyle w:val="Normal1"/>
              <w:widowControl w:val="false"/>
              <w:jc w:val="center"/>
              <w:rPr>
                <w:rFonts w:ascii="Arial" w:hAnsi="Arial" w:eastAsia="Arial" w:cs="Arial"/>
                <w:b/>
                <w:b/>
                <w:sz w:val="20"/>
                <w:szCs w:val="20"/>
                <w:shd w:fill="auto" w:val="clear"/>
              </w:rPr>
            </w:pPr>
            <w:r>
              <w:rPr>
                <w:rFonts w:eastAsia="Arial" w:cs="Arial" w:ascii="Arial" w:hAnsi="Arial"/>
                <w:b/>
                <w:sz w:val="20"/>
                <w:szCs w:val="20"/>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1"/>
              <w:widowControl w:val="false"/>
              <w:jc w:val="center"/>
              <w:rPr>
                <w:rFonts w:ascii="Arial" w:hAnsi="Arial" w:eastAsia="Arial" w:cs="Arial"/>
                <w:b/>
                <w:b/>
                <w:sz w:val="20"/>
                <w:szCs w:val="20"/>
                <w:shd w:fill="auto" w:val="clear"/>
              </w:rPr>
            </w:pPr>
            <w:r>
              <w:rPr>
                <w:rFonts w:eastAsia="Arial" w:cs="Arial" w:ascii="Arial" w:hAnsi="Arial"/>
                <w:b/>
                <w:sz w:val="20"/>
                <w:szCs w:val="20"/>
                <w:shd w:fill="auto" w:val="clear"/>
              </w:rPr>
              <w:t>Total revisiones a Sumideros</w:t>
            </w:r>
          </w:p>
        </w:tc>
      </w:tr>
      <w:tr>
        <w:trPr>
          <w:tblHeader w:val="true"/>
        </w:trPr>
        <w:tc>
          <w:tcPr>
            <w:tcW w:w="2609" w:type="dxa"/>
            <w:tcBorders>
              <w:left w:val="single" w:sz="4" w:space="0" w:color="000000"/>
              <w:bottom w:val="single" w:sz="4" w:space="0" w:color="000000"/>
            </w:tcBorders>
          </w:tcPr>
          <w:p>
            <w:pPr>
              <w:pStyle w:val="Normal1"/>
              <w:widowControl w:val="false"/>
              <w:jc w:val="center"/>
              <w:rPr>
                <w:rFonts w:ascii="Arial" w:hAnsi="Arial" w:eastAsia="Arial" w:cs="Arial"/>
                <w:sz w:val="20"/>
                <w:szCs w:val="20"/>
                <w:shd w:fill="auto" w:val="clear"/>
              </w:rPr>
            </w:pPr>
            <w:r>
              <w:rPr>
                <w:rFonts w:eastAsia="Arial" w:cs="Arial" w:ascii="Arial" w:hAnsi="Arial"/>
                <w:sz w:val="20"/>
                <w:szCs w:val="20"/>
                <w:shd w:fill="auto" w:val="clear"/>
              </w:rPr>
              <w:t>N/A</w:t>
            </w:r>
          </w:p>
        </w:tc>
        <w:tc>
          <w:tcPr>
            <w:tcW w:w="2895" w:type="dxa"/>
            <w:tcBorders>
              <w:left w:val="single" w:sz="4" w:space="0" w:color="000000"/>
              <w:bottom w:val="single" w:sz="4" w:space="0" w:color="000000"/>
            </w:tcBorders>
          </w:tcPr>
          <w:p>
            <w:pPr>
              <w:pStyle w:val="Normal1"/>
              <w:keepNext w:val="false"/>
              <w:keepLines w:val="false"/>
              <w:widowControl w:val="false"/>
              <w:pBdr/>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Ciudad Jardín</w:t>
            </w:r>
          </w:p>
        </w:tc>
        <w:tc>
          <w:tcPr>
            <w:tcW w:w="1860" w:type="dxa"/>
            <w:tcBorders>
              <w:left w:val="single" w:sz="4" w:space="0" w:color="000000"/>
              <w:bottom w:val="single" w:sz="4" w:space="0" w:color="000000"/>
            </w:tcBorders>
          </w:tcPr>
          <w:p>
            <w:pPr>
              <w:pStyle w:val="Normal1"/>
              <w:keepNext w:val="false"/>
              <w:keepLines w:val="false"/>
              <w:widowControl w:val="false"/>
              <w:pBdr/>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9162</w:t>
            </w:r>
          </w:p>
        </w:tc>
        <w:tc>
          <w:tcPr>
            <w:tcW w:w="1994" w:type="dxa"/>
            <w:tcBorders>
              <w:left w:val="single" w:sz="4" w:space="0" w:color="000000"/>
              <w:bottom w:val="single" w:sz="4" w:space="0" w:color="000000"/>
              <w:right w:val="single" w:sz="4" w:space="0" w:color="000000"/>
            </w:tcBorders>
          </w:tcPr>
          <w:p>
            <w:pPr>
              <w:pStyle w:val="Normal1"/>
              <w:keepNext w:val="false"/>
              <w:keepLines w:val="false"/>
              <w:widowControl w:val="false"/>
              <w:pBdr/>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5047</w:t>
            </w:r>
          </w:p>
        </w:tc>
      </w:tr>
      <w:tr>
        <w:trPr>
          <w:tblHeader w:val="true"/>
        </w:trPr>
        <w:tc>
          <w:tcPr>
            <w:tcW w:w="2609" w:type="dxa"/>
            <w:tcBorders>
              <w:left w:val="single" w:sz="4" w:space="0" w:color="000000"/>
              <w:bottom w:val="single" w:sz="4" w:space="0" w:color="000000"/>
            </w:tcBorders>
          </w:tcPr>
          <w:p>
            <w:pPr>
              <w:pStyle w:val="Normal1"/>
              <w:widowControl w:val="false"/>
              <w:rPr>
                <w:rFonts w:ascii="Arial" w:hAnsi="Arial" w:eastAsia="Arial" w:cs="Arial"/>
                <w:sz w:val="20"/>
                <w:szCs w:val="20"/>
                <w:shd w:fill="auto" w:val="clear"/>
              </w:rPr>
            </w:pPr>
            <w:r>
              <w:rPr>
                <w:rFonts w:eastAsia="Arial" w:cs="Arial" w:ascii="Arial" w:hAnsi="Arial"/>
                <w:sz w:val="20"/>
                <w:szCs w:val="20"/>
                <w:shd w:fill="auto" w:val="clear"/>
              </w:rPr>
              <w:t>CL 18 - 25 KR 112 - 118</w:t>
            </w:r>
          </w:p>
        </w:tc>
        <w:tc>
          <w:tcPr>
            <w:tcW w:w="2895" w:type="dxa"/>
            <w:tcBorders>
              <w:left w:val="single" w:sz="4" w:space="0" w:color="000000"/>
              <w:bottom w:val="single" w:sz="4" w:space="0" w:color="000000"/>
            </w:tcBorders>
          </w:tcPr>
          <w:p>
            <w:pPr>
              <w:pStyle w:val="Normal1"/>
              <w:keepNext w:val="false"/>
              <w:keepLines w:val="false"/>
              <w:widowControl w:val="false"/>
              <w:pBdr/>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Ciudad Campestre (Sector Hacienda Cañasgordas)</w:t>
            </w:r>
          </w:p>
        </w:tc>
        <w:tc>
          <w:tcPr>
            <w:tcW w:w="1860" w:type="dxa"/>
            <w:tcBorders>
              <w:left w:val="single" w:sz="4" w:space="0" w:color="000000"/>
              <w:bottom w:val="single" w:sz="4" w:space="0" w:color="000000"/>
            </w:tcBorders>
          </w:tcPr>
          <w:p>
            <w:pPr>
              <w:pStyle w:val="Normal1"/>
              <w:keepNext w:val="false"/>
              <w:keepLines w:val="false"/>
              <w:widowControl w:val="false"/>
              <w:pBdr/>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614</w:t>
            </w:r>
          </w:p>
        </w:tc>
        <w:tc>
          <w:tcPr>
            <w:tcW w:w="1994" w:type="dxa"/>
            <w:tcBorders>
              <w:left w:val="single" w:sz="4" w:space="0" w:color="000000"/>
              <w:bottom w:val="single" w:sz="4" w:space="0" w:color="000000"/>
              <w:right w:val="single" w:sz="4" w:space="0" w:color="000000"/>
            </w:tcBorders>
          </w:tcPr>
          <w:p>
            <w:pPr>
              <w:pStyle w:val="Normal1"/>
              <w:keepNext w:val="false"/>
              <w:keepLines w:val="false"/>
              <w:widowControl w:val="false"/>
              <w:pBdr/>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320</w:t>
            </w:r>
          </w:p>
        </w:tc>
      </w:tr>
    </w:tbl>
    <w:p>
      <w:pPr>
        <w:pStyle w:val="Normal1"/>
        <w:jc w:val="both"/>
        <w:rPr>
          <w:rFonts w:ascii="Arial" w:hAnsi="Arial" w:eastAsia="Arial" w:cs="Arial"/>
          <w:highlight w:val="white"/>
        </w:rPr>
      </w:pPr>
      <w:r>
        <w:rPr>
          <w:rFonts w:eastAsia="Arial" w:cs="Arial" w:ascii="Arial" w:hAnsi="Arial"/>
          <w:highlight w:val="white"/>
        </w:rPr>
      </w:r>
    </w:p>
    <w:p>
      <w:pPr>
        <w:pStyle w:val="Normal1"/>
        <w:jc w:val="both"/>
        <w:rPr>
          <w:rFonts w:ascii="Arial" w:hAnsi="Arial" w:eastAsia="Arial" w:cs="Arial"/>
          <w:highlight w:val="white"/>
        </w:rPr>
      </w:pPr>
      <w:r>
        <w:rPr>
          <w:rFonts w:eastAsia="Arial" w:cs="Arial" w:ascii="Arial" w:hAnsi="Arial"/>
          <w:highlight w:val="white"/>
        </w:rPr>
      </w:r>
    </w:p>
    <w:p>
      <w:pPr>
        <w:pStyle w:val="Normal1"/>
        <w:jc w:val="both"/>
        <w:rPr/>
      </w:pPr>
      <w:r>
        <w:rPr>
          <w:rFonts w:eastAsia="Arial" w:cs="Arial" w:ascii="Arial" w:hAnsi="Arial"/>
          <w:highlight w:val="white"/>
        </w:rPr>
        <w:t xml:space="preserve">A su vez se realiza intervención en los lugares de concentración humana puesto que albergan alta densidad poblacional (permanente o en tránsito) y, por lo tanto, presentan una mayor probabilidad de transmisión de las ETV. Durante el año 2024, se realizaron 642 visitas de control larvario a Centros Comerciales, Centros Docentes, Centros de Recreación, Edificios, Empresas, Entidades de Gobierno, Estaciones de Policia, Estaciones de Servicio, Hogares de Bienestar Familiar, Hogares Geriatricos, Hoteles, Instalaciones Deportivas, Instituciones de Salud, Instituciones Religiosas, Jardines Infantiles, Parqueaderos, Plantas y Estaciones de Bombeo - Emcali, Talleres, Unidades Residenciales, Universidades, Viveros, Vulcanizadoras, entre otras Instituciones de la comuna 22. Los resultados muestran que en 67 ocasiones se encontraron criaderos del mosquito </w:t>
      </w:r>
      <w:r>
        <w:rPr>
          <w:rFonts w:eastAsia="Arial" w:cs="Arial" w:ascii="Arial" w:hAnsi="Arial"/>
          <w:i/>
          <w:highlight w:val="white"/>
        </w:rPr>
        <w:t>Aedes aegypti</w:t>
      </w:r>
      <w:r>
        <w:rPr>
          <w:rFonts w:eastAsia="Arial" w:cs="Arial" w:ascii="Arial" w:hAnsi="Arial"/>
          <w:highlight w:val="white"/>
        </w:rPr>
        <w:t>, en Centros Docentes (13), Centros de Recreación (8), Edificios (2), Hogares Geriatricos (2), Hoteles (1), Instalaciones Deportivas (1), Instituciones de Salud (1), Jardines Infantiles (2), Parqueaderos (5), Talleres (1), Unidades Residenciales (23), Universidades (3), Viveros (3) y otras Instituciones (2).</w:t>
      </w:r>
    </w:p>
    <w:p>
      <w:pPr>
        <w:pStyle w:val="Normal1"/>
        <w:jc w:val="both"/>
        <w:rPr>
          <w:rFonts w:ascii="Arial" w:hAnsi="Arial" w:eastAsia="Arial" w:cs="Arial"/>
          <w:highlight w:val="white"/>
        </w:rPr>
      </w:pPr>
      <w:r>
        <w:rPr>
          <w:rFonts w:eastAsia="Arial" w:cs="Arial" w:ascii="Arial" w:hAnsi="Arial"/>
          <w:highlight w:val="white"/>
        </w:rPr>
      </w:r>
    </w:p>
    <w:p>
      <w:pPr>
        <w:pStyle w:val="Normal1"/>
        <w:spacing w:lineRule="auto" w:line="240" w:before="113" w:after="0"/>
        <w:jc w:val="both"/>
        <w:rPr>
          <w:rFonts w:ascii="Arial" w:hAnsi="Arial" w:eastAsia="Arial" w:cs="Arial"/>
          <w:highlight w:val="white"/>
        </w:rPr>
      </w:pPr>
      <w:r>
        <w:rPr>
          <w:rFonts w:eastAsia="Arial" w:cs="Arial" w:ascii="Arial" w:hAnsi="Arial"/>
          <w:highlight w:val="white"/>
        </w:rPr>
        <w:t>Teniendo en cuenta lo anterior, se reitera que no se deben tener  recipientes con agua almacenada o estancada por más de siete (7) días al interior de las  viviendas, edificaciones y las zonas comunes. Por lo tanto, se debe:</w:t>
      </w:r>
    </w:p>
    <w:p>
      <w:pPr>
        <w:pStyle w:val="Normal1"/>
        <w:ind w:left="340" w:hanging="0"/>
        <w:jc w:val="both"/>
        <w:rPr>
          <w:rFonts w:ascii="Arial" w:hAnsi="Arial" w:eastAsia="Arial" w:cs="Arial"/>
          <w:highlight w:val="white"/>
        </w:rPr>
      </w:pPr>
      <w:r>
        <w:rPr>
          <w:rFonts w:eastAsia="Arial" w:cs="Arial" w:ascii="Arial" w:hAnsi="Arial"/>
          <w:highlight w:val="white"/>
        </w:rPr>
      </w:r>
    </w:p>
    <w:p>
      <w:pPr>
        <w:pStyle w:val="Normal1"/>
        <w:spacing w:lineRule="auto" w:line="240" w:before="0" w:after="113"/>
        <w:ind w:left="340" w:right="-57" w:hanging="56"/>
        <w:jc w:val="both"/>
        <w:rPr>
          <w:rFonts w:ascii="Arial" w:hAnsi="Arial" w:eastAsia="Arial" w:cs="Arial"/>
          <w:highlight w:val="white"/>
        </w:rPr>
      </w:pPr>
      <w:r>
        <w:rPr>
          <w:rFonts w:eastAsia="Arial" w:cs="Arial" w:ascii="Arial" w:hAnsi="Arial"/>
          <w:highlight w:val="white"/>
        </w:rPr>
        <w:t>1. Inspeccionar semanalmente las viviendas para eliminar depósitos con agua,  donde se pueda criar el vector. </w:t>
      </w:r>
    </w:p>
    <w:p>
      <w:pPr>
        <w:pStyle w:val="Normal1"/>
        <w:spacing w:lineRule="auto" w:line="240" w:before="113" w:after="113"/>
        <w:ind w:left="340" w:right="-57" w:hanging="56"/>
        <w:jc w:val="both"/>
        <w:rPr>
          <w:rFonts w:ascii="Arial" w:hAnsi="Arial" w:eastAsia="Arial" w:cs="Arial"/>
          <w:highlight w:val="white"/>
        </w:rPr>
      </w:pPr>
      <w:r>
        <w:rPr>
          <w:rFonts w:eastAsia="Arial" w:cs="Arial" w:ascii="Arial" w:hAnsi="Arial"/>
          <w:highlight w:val="white"/>
        </w:rPr>
        <w:t>2. Lavar y cepillar tanques cada 8 días para eliminar los huevos del mosquito de las  paredes. </w:t>
      </w:r>
    </w:p>
    <w:p>
      <w:pPr>
        <w:pStyle w:val="Normal1"/>
        <w:spacing w:lineRule="auto" w:line="240" w:before="113" w:after="113"/>
        <w:ind w:left="340" w:hanging="0"/>
        <w:jc w:val="both"/>
        <w:rPr>
          <w:rFonts w:ascii="Arial" w:hAnsi="Arial" w:eastAsia="Arial" w:cs="Arial"/>
          <w:highlight w:val="white"/>
        </w:rPr>
      </w:pPr>
      <w:r>
        <w:rPr>
          <w:rFonts w:eastAsia="Arial" w:cs="Arial" w:ascii="Arial" w:hAnsi="Arial"/>
          <w:highlight w:val="white"/>
        </w:rPr>
        <w:t>3. Cambiar frecuentemente el agua de los bebederos de animales. 4. Sembrar las plantas en tierra y evitar tenerlas en agua. </w:t>
      </w:r>
    </w:p>
    <w:p>
      <w:pPr>
        <w:pStyle w:val="Normal1"/>
        <w:spacing w:lineRule="auto" w:line="240" w:before="113" w:after="113"/>
        <w:ind w:left="340" w:hanging="0"/>
        <w:jc w:val="both"/>
        <w:rPr>
          <w:rFonts w:ascii="Arial" w:hAnsi="Arial" w:eastAsia="Arial" w:cs="Arial"/>
          <w:highlight w:val="white"/>
        </w:rPr>
      </w:pPr>
      <w:r>
        <w:rPr>
          <w:rFonts w:eastAsia="Arial" w:cs="Arial" w:ascii="Arial" w:hAnsi="Arial"/>
          <w:highlight w:val="white"/>
        </w:rPr>
        <w:t>4. Tapar herméticamente los recipientes donde se almacena agua, disponer  adecuadamente la basura acumulada en patios y áreas al aire libre, eliminar  llantas, garantizar su almacenamiento en sitios cerrados, limpiar jardines y lotes  baldíos. </w:t>
      </w:r>
    </w:p>
    <w:p>
      <w:pPr>
        <w:pStyle w:val="Normal1"/>
        <w:spacing w:lineRule="auto" w:line="240" w:before="113" w:after="113"/>
        <w:ind w:left="340" w:hanging="0"/>
        <w:jc w:val="both"/>
        <w:rPr>
          <w:rFonts w:ascii="Arial" w:hAnsi="Arial" w:eastAsia="Arial" w:cs="Arial"/>
          <w:highlight w:val="white"/>
        </w:rPr>
      </w:pPr>
      <w:r>
        <w:rPr>
          <w:rFonts w:eastAsia="Arial" w:cs="Arial" w:ascii="Arial" w:hAnsi="Arial"/>
          <w:highlight w:val="white"/>
        </w:rPr>
        <w:t>5. Para evitar la picadura, aplicar repelentes en la piel expuesta (hombros, brazos, piernas) o sobre la ropa, sobre todo, durante las horas del día, cuando este zancudo es más activo. </w:t>
      </w:r>
    </w:p>
    <w:p>
      <w:pPr>
        <w:pStyle w:val="Normal1"/>
        <w:spacing w:lineRule="auto" w:line="240" w:before="113" w:after="113"/>
        <w:ind w:left="340" w:hanging="0"/>
        <w:jc w:val="both"/>
        <w:rPr>
          <w:rFonts w:ascii="Arial" w:hAnsi="Arial" w:eastAsia="Arial" w:cs="Arial"/>
          <w:highlight w:val="white"/>
        </w:rPr>
      </w:pPr>
      <w:r>
        <w:rPr>
          <w:rFonts w:eastAsia="Arial" w:cs="Arial" w:ascii="Arial" w:hAnsi="Arial"/>
          <w:highlight w:val="white"/>
        </w:rPr>
        <w:t>6. En caso de presentar síntomas como fiebre, dolor en articulaciones y en músculos,  dolor de cabeza, brotes en la piel, es de vital importancia que la persona NO se  automedique y consulte a un médico, se hidrate bien y guarde reposo.</w:t>
      </w:r>
    </w:p>
    <w:p>
      <w:pPr>
        <w:pStyle w:val="Normal1"/>
        <w:spacing w:lineRule="auto" w:line="240" w:before="113" w:after="113"/>
        <w:ind w:left="340" w:hanging="0"/>
        <w:jc w:val="both"/>
        <w:rPr>
          <w:rFonts w:ascii="Arial" w:hAnsi="Arial" w:eastAsia="Arial" w:cs="Arial"/>
          <w:highlight w:val="white"/>
        </w:rPr>
      </w:pPr>
      <w:r>
        <w:rPr>
          <w:rFonts w:eastAsia="Arial" w:cs="Arial" w:ascii="Arial" w:hAnsi="Arial"/>
          <w:highlight w:val="white"/>
        </w:rPr>
        <w:t>7. Si, además,  de los síntomas anteriores presenta uno o más de los siguientes síntomas, debe  recibir atención médica de carácter urgente: vómito, dolor abdominal, diarrea,  sangrado por mucosas (boca o nariz), irritabilidad o somnolencia. </w:t>
      </w:r>
    </w:p>
    <w:p>
      <w:pPr>
        <w:pStyle w:val="Normal1"/>
        <w:spacing w:lineRule="auto" w:line="240" w:before="113" w:after="113"/>
        <w:ind w:left="340" w:hanging="0"/>
        <w:jc w:val="both"/>
        <w:rPr>
          <w:rFonts w:ascii="Arial" w:hAnsi="Arial" w:eastAsia="Arial" w:cs="Arial"/>
          <w:highlight w:val="white"/>
        </w:rPr>
      </w:pPr>
      <w:r>
        <w:rPr>
          <w:rFonts w:eastAsia="Arial" w:cs="Arial" w:ascii="Arial" w:hAnsi="Arial"/>
          <w:highlight w:val="white"/>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Normal1"/>
        <w:ind w:left="340" w:hanging="0"/>
        <w:jc w:val="both"/>
        <w:rPr>
          <w:rFonts w:ascii="Arial" w:hAnsi="Arial" w:eastAsia="Arial" w:cs="Arial"/>
          <w:highlight w:val="white"/>
        </w:rPr>
      </w:pPr>
      <w:r>
        <w:rPr>
          <w:rFonts w:eastAsia="Arial" w:cs="Arial" w:ascii="Arial" w:hAnsi="Arial"/>
          <w:highlight w:val="white"/>
        </w:rPr>
      </w:r>
    </w:p>
    <w:p>
      <w:pPr>
        <w:pStyle w:val="Normal1"/>
        <w:tabs>
          <w:tab w:val="clear" w:pos="720"/>
          <w:tab w:val="left" w:pos="735" w:leader="none"/>
        </w:tabs>
        <w:jc w:val="both"/>
        <w:rPr>
          <w:rFonts w:ascii="Arial" w:hAnsi="Arial" w:eastAsia="Arial" w:cs="Arial"/>
          <w:highlight w:val="white"/>
        </w:rPr>
      </w:pPr>
      <w:r>
        <w:rPr>
          <w:rFonts w:eastAsia="Arial" w:cs="Arial" w:ascii="Arial" w:hAnsi="Arial"/>
          <w:highlight w:val="white"/>
        </w:rPr>
        <w:t>Por último, 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Normal1"/>
        <w:tabs>
          <w:tab w:val="clear" w:pos="720"/>
          <w:tab w:val="left" w:pos="735" w:leader="none"/>
        </w:tabs>
        <w:jc w:val="both"/>
        <w:rPr>
          <w:rFonts w:ascii="Arial" w:hAnsi="Arial" w:eastAsia="Arial" w:cs="Arial"/>
          <w:highlight w:val="white"/>
        </w:rPr>
      </w:pPr>
      <w:r>
        <w:rPr>
          <w:rFonts w:eastAsia="Arial" w:cs="Arial" w:ascii="Arial" w:hAnsi="Arial"/>
          <w:highlight w:val="white"/>
        </w:rPr>
      </w:r>
    </w:p>
    <w:p>
      <w:pPr>
        <w:pStyle w:val="Normal1"/>
        <w:spacing w:lineRule="auto" w:line="240" w:before="0" w:after="120"/>
        <w:jc w:val="both"/>
        <w:rPr/>
      </w:pPr>
      <w:r>
        <w:rPr>
          <w:rFonts w:eastAsia="Arial" w:cs="Arial" w:ascii="Arial" w:hAnsi="Arial"/>
        </w:rPr>
        <w:t>Con lo anterior se da respuesta a su solicitud, no obstante, estaremos atentos en caso de requerir información adicional.</w:t>
      </w:r>
    </w:p>
    <w:p>
      <w:pPr>
        <w:pStyle w:val="Normal1"/>
        <w:spacing w:lineRule="auto" w:line="240" w:before="0" w:after="120"/>
        <w:rPr>
          <w:rFonts w:ascii="Arial" w:hAnsi="Arial" w:eastAsia="Arial" w:cs="Arial"/>
        </w:rPr>
      </w:pPr>
      <w:r>
        <w:rPr/>
      </w:r>
    </w:p>
    <w:p>
      <w:pPr>
        <w:pStyle w:val="Normal1"/>
        <w:spacing w:lineRule="auto" w:line="240" w:before="0" w:after="120"/>
        <w:rPr>
          <w:rFonts w:ascii="Arial" w:hAnsi="Arial" w:eastAsia="Arial" w:cs="Arial"/>
        </w:rPr>
      </w:pPr>
      <w:r>
        <w:rPr>
          <w:rFonts w:eastAsia="Arial" w:cs="Arial" w:ascii="Arial" w:hAnsi="Arial"/>
        </w:rPr>
        <w:t>Atentamente,</w:t>
      </w:r>
    </w:p>
    <w:p>
      <w:pPr>
        <w:pStyle w:val="Normal1"/>
        <w:jc w:val="both"/>
        <w:rPr>
          <w:rFonts w:ascii="Arial" w:hAnsi="Arial" w:eastAsia="Arial" w:cs="Arial"/>
          <w:shd w:fill="auto" w:val="clear"/>
        </w:rPr>
      </w:pPr>
      <w:r>
        <w:rPr>
          <w:rFonts w:eastAsia="Arial" w:cs="Arial" w:ascii="Arial" w:hAnsi="Arial"/>
          <w:shd w:fill="auto" w:val="clear"/>
        </w:rPr>
      </w:r>
    </w:p>
    <w:p>
      <w:pPr>
        <w:pStyle w:val="Normal1"/>
        <w:jc w:val="both"/>
        <w:rPr>
          <w:rFonts w:ascii="Arial" w:hAnsi="Arial" w:eastAsia="Arial" w:cs="Arial"/>
          <w:shd w:fill="auto" w:val="clear"/>
        </w:rPr>
      </w:pPr>
      <w:r>
        <w:rPr>
          <w:rFonts w:eastAsia="Arial" w:cs="Arial" w:ascii="Arial" w:hAnsi="Arial"/>
          <w:shd w:fill="auto" w:val="clear"/>
        </w:rPr>
      </w:r>
    </w:p>
    <w:p>
      <w:pPr>
        <w:pStyle w:val="Normal1"/>
        <w:jc w:val="both"/>
        <w:rPr>
          <w:shd w:fill="auto" w:val="clear"/>
        </w:rPr>
      </w:pPr>
      <w:r>
        <w:rPr>
          <w:rFonts w:eastAsia="Arial" w:cs="Arial" w:ascii="Arial" w:hAnsi="Arial"/>
          <w:shd w:fill="auto" w:val="clear"/>
        </w:rPr>
        <w:t xml:space="preserve">JOSÉ JULIÁN FICHMAN DELGADO </w:t>
      </w:r>
    </w:p>
    <w:p>
      <w:pPr>
        <w:pStyle w:val="Normal1"/>
        <w:jc w:val="both"/>
        <w:rPr>
          <w:shd w:fill="auto" w:val="clear"/>
        </w:rPr>
      </w:pPr>
      <w:r>
        <w:rPr>
          <w:rFonts w:eastAsia="Arial" w:cs="Arial" w:ascii="Arial" w:hAnsi="Arial"/>
          <w:shd w:fill="auto" w:val="clear"/>
        </w:rPr>
        <w:t>Director Local de Salud</w:t>
      </w:r>
    </w:p>
    <w:p>
      <w:pPr>
        <w:pStyle w:val="Normal1"/>
        <w:jc w:val="both"/>
        <w:rPr>
          <w:shd w:fill="auto" w:val="clear"/>
        </w:rPr>
      </w:pPr>
      <w:r>
        <w:rPr>
          <w:rFonts w:eastAsia="Arial" w:cs="Arial" w:ascii="Arial" w:hAnsi="Arial"/>
          <w:shd w:fill="auto" w:val="clear"/>
        </w:rPr>
        <w:t>Secretaría de Salud del Distrito Especial de Santiago de Cali</w:t>
      </w:r>
    </w:p>
    <w:p>
      <w:pPr>
        <w:pStyle w:val="Normal1"/>
        <w:jc w:val="both"/>
        <w:rPr>
          <w:rFonts w:ascii="Arial" w:hAnsi="Arial" w:eastAsia="Arial" w:cs="Arial"/>
          <w:shd w:fill="auto" w:val="clear"/>
        </w:rPr>
      </w:pPr>
      <w:r>
        <w:rPr>
          <w:rFonts w:eastAsia="Arial" w:cs="Arial" w:ascii="Arial" w:hAnsi="Arial"/>
          <w:shd w:fill="auto" w:val="clear"/>
        </w:rPr>
      </w:r>
    </w:p>
    <w:p>
      <w:pPr>
        <w:pStyle w:val="Normal1"/>
        <w:widowControl/>
        <w:rPr>
          <w:shd w:fill="auto" w:val="clear"/>
        </w:rPr>
      </w:pPr>
      <w:r>
        <w:rPr>
          <w:rFonts w:eastAsia="Arial" w:cs="Arial" w:ascii="Arial" w:hAnsi="Arial"/>
          <w:sz w:val="16"/>
          <w:szCs w:val="16"/>
          <w:shd w:fill="auto" w:val="clear"/>
        </w:rPr>
        <w:t>CC.juans-montanav@unilibre.edu.co</w:t>
      </w:r>
    </w:p>
    <w:p>
      <w:pPr>
        <w:pStyle w:val="Normal1"/>
        <w:widowControl/>
        <w:rPr>
          <w:rFonts w:ascii="Arial" w:hAnsi="Arial" w:eastAsia="Arial" w:cs="Arial"/>
          <w:sz w:val="16"/>
          <w:szCs w:val="16"/>
        </w:rPr>
      </w:pPr>
      <w:r>
        <w:rPr>
          <w:shd w:fill="auto" w:val="clear"/>
        </w:rPr>
      </w:r>
    </w:p>
    <w:p>
      <w:pPr>
        <w:pStyle w:val="Normal1"/>
        <w:widowControl/>
        <w:rPr>
          <w:shd w:fill="auto" w:val="clear"/>
        </w:rPr>
      </w:pPr>
      <w:r>
        <w:rPr>
          <w:rFonts w:eastAsia="Arial" w:cs="Arial" w:ascii="Arial" w:hAnsi="Arial"/>
          <w:sz w:val="16"/>
          <w:szCs w:val="16"/>
          <w:shd w:fill="auto" w:val="clear"/>
        </w:rPr>
        <w:t xml:space="preserve">Proyecto: Clara Inés Solis Sandoval – Contratista </w:t>
        <w:tab/>
      </w:r>
    </w:p>
    <w:p>
      <w:pPr>
        <w:pStyle w:val="Normal1"/>
        <w:widowControl/>
        <w:rPr>
          <w:shd w:fill="auto" w:val="clear"/>
        </w:rPr>
      </w:pPr>
      <w:r>
        <w:rPr>
          <w:rFonts w:eastAsia="Arial" w:cs="Arial" w:ascii="Arial" w:hAnsi="Arial"/>
          <w:sz w:val="16"/>
          <w:szCs w:val="16"/>
          <w:shd w:fill="auto" w:val="clear"/>
        </w:rPr>
        <w:t>Elaboró:</w:t>
        <w:tab/>
        <w:t>Dahiana Quintero Echeverry – Contratista.</w:t>
      </w:r>
    </w:p>
    <w:p>
      <w:pPr>
        <w:pStyle w:val="Normal1"/>
        <w:widowControl/>
        <w:rPr>
          <w:shd w:fill="auto" w:val="clear"/>
        </w:rPr>
      </w:pPr>
      <w:r>
        <w:rPr>
          <w:rFonts w:eastAsia="Arial" w:cs="Arial" w:ascii="Arial" w:hAnsi="Arial"/>
          <w:sz w:val="16"/>
          <w:szCs w:val="16"/>
          <w:shd w:fill="auto" w:val="clear"/>
        </w:rPr>
        <w:t xml:space="preserve">Revisó: </w:t>
        <w:tab/>
        <w:t>Johnny Eduardo Narvaez – Profesional Universitario Grado 2.</w:t>
      </w:r>
    </w:p>
    <w:p>
      <w:pPr>
        <w:pStyle w:val="Normal1"/>
        <w:widowControl/>
        <w:rPr>
          <w:shd w:fill="auto" w:val="clear"/>
        </w:rPr>
      </w:pPr>
      <w:r>
        <w:rPr>
          <w:rFonts w:eastAsia="Arial" w:cs="Arial" w:ascii="Arial" w:hAnsi="Arial"/>
          <w:sz w:val="16"/>
          <w:szCs w:val="16"/>
          <w:shd w:fill="auto" w:val="clear"/>
        </w:rPr>
        <w:tab/>
      </w:r>
    </w:p>
    <w:p>
      <w:pPr>
        <w:pStyle w:val="Normal1"/>
        <w:keepNext w:val="false"/>
        <w:keepLines w:val="false"/>
        <w:pageBreakBefore w:val="false"/>
        <w:widowControl/>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6"/>
          <w:sz w:val="16"/>
          <w:szCs w:val="16"/>
          <w:u w:val="none"/>
          <w:shd w:fill="auto" w:val="clear"/>
          <w:vertAlign w:val="baseline"/>
        </w:rPr>
      </w:pP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r>
      <w:bookmarkStart w:id="0" w:name="_heading=h.gjdgxs"/>
      <w:bookmarkStart w:id="1" w:name="_heading=h.gjdgxs"/>
      <w:bookmarkEnd w:id="1"/>
    </w:p>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En atención del desarrollo de nuestros Sistemas de Gestión y Control Integrados le solicito comedidamente diligenciar la encuesta de satisfacción de usuario accediendo al siguiente enlace:</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hyperlink r:id="rId2">
        <w:r>
          <w:rPr>
            <w:rFonts w:eastAsia="Arial" w:cs="Arial" w:ascii="Arial" w:hAnsi="Arial"/>
            <w:b w:val="false"/>
            <w:i w:val="false"/>
            <w:caps w:val="false"/>
            <w:smallCaps w:val="false"/>
            <w:strike w:val="false"/>
            <w:dstrike w:val="false"/>
            <w:color w:val="0563C1"/>
            <w:position w:val="0"/>
            <w:sz w:val="16"/>
            <w:sz w:val="16"/>
            <w:szCs w:val="16"/>
            <w:highlight w:val="white"/>
            <w:u w:val="single"/>
            <w:vertAlign w:val="baseline"/>
          </w:rPr>
          <w:t>http://www.cali.gov.co/aplicaciones/encuestas_ciudadano/view_encuesta_satisfaccion.php</w:t>
        </w:r>
      </w:hyperlink>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16"/>
          <w:sz w:val="16"/>
          <w:szCs w:val="16"/>
          <w:highlight w:val="white"/>
          <w:u w:val="none"/>
          <w:vertAlign w:val="baseline"/>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drawing>
          <wp:anchor behindDoc="0" distT="0" distB="0" distL="0" distR="0" simplePos="0" locked="0" layoutInCell="0" allowOverlap="1" relativeHeight="2">
            <wp:simplePos x="0" y="0"/>
            <wp:positionH relativeFrom="column">
              <wp:posOffset>-635</wp:posOffset>
            </wp:positionH>
            <wp:positionV relativeFrom="paragraph">
              <wp:posOffset>52070</wp:posOffset>
            </wp:positionV>
            <wp:extent cx="563245" cy="565785"/>
            <wp:effectExtent l="0" t="0" r="0" b="0"/>
            <wp:wrapNone/>
            <wp:docPr id="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png"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Georgia">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val="false"/>
      <w:pBdr/>
      <w:shd w:val="clear" w:fill="auto"/>
      <w:tabs>
        <w:tab w:val="clear" w:pos="720"/>
        <w:tab w:val="center" w:pos="4702" w:leader="none"/>
        <w:tab w:val="center" w:pos="4818" w:leader="none"/>
        <w:tab w:val="right" w:pos="9637"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mc:AlternateContent>
        <mc:Choice Requires="wps">
          <w:drawing>
            <wp:anchor behindDoc="1" distT="0" distB="0" distL="0" distR="0" simplePos="0" locked="0" layoutInCell="0" allowOverlap="1" relativeHeight="8">
              <wp:simplePos x="0" y="0"/>
              <wp:positionH relativeFrom="column">
                <wp:posOffset>8890</wp:posOffset>
              </wp:positionH>
              <wp:positionV relativeFrom="paragraph">
                <wp:posOffset>7266940</wp:posOffset>
              </wp:positionV>
              <wp:extent cx="1039495" cy="1905"/>
              <wp:effectExtent l="0" t="0" r="0" b="0"/>
              <wp:wrapSquare wrapText="bothSides"/>
              <wp:docPr id="5" name="image2.png"/>
              <a:graphic xmlns:a="http://schemas.openxmlformats.org/drawingml/2006/main">
                <a:graphicData uri="http://schemas.openxmlformats.org/drawingml/2006/picture">
                  <pic:pic xmlns:pic="http://schemas.openxmlformats.org/drawingml/2006/picture">
                    <pic:nvPicPr>
                      <pic:cNvPr id="0" name="image2.png" descr=""/>
                      <pic:cNvPicPr/>
                    </pic:nvPicPr>
                    <pic:blipFill>
                      <a:blip r:embed="rId1"/>
                      <a:srcRect l="0" t="0" r="2513" b="186"/>
                      <a:stretch/>
                    </pic:blipFill>
                    <pic:spPr>
                      <a:xfrm rot="10800000">
                        <a:off x="0" y="0"/>
                        <a:ext cx="1038960" cy="14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2.png" stroked="f" style="position:absolute;margin-left:0.7pt;margin-top:572.2pt;width:81.75pt;height:0.05pt;mso-wrap-style:none;v-text-anchor:middle;rotation:180" type="shapetype_75">
              <v:imagedata r:id="rId2" o:detectmouseclick="t"/>
              <v:stroke color="#3465a4" joinstyle="round" endcap="flat"/>
              <w10:wrap type="square"/>
            </v:shape>
          </w:pict>
        </mc:Fallback>
      </mc:AlternateContent>
      <w:drawing>
        <wp:anchor behindDoc="1" distT="0" distB="0" distL="0" distR="0" simplePos="0" locked="0" layoutInCell="0" allowOverlap="1" relativeHeight="5">
          <wp:simplePos x="0" y="0"/>
          <wp:positionH relativeFrom="column">
            <wp:posOffset>0</wp:posOffset>
          </wp:positionH>
          <wp:positionV relativeFrom="paragraph">
            <wp:posOffset>-44450</wp:posOffset>
          </wp:positionV>
          <wp:extent cx="1275715" cy="808990"/>
          <wp:effectExtent l="0" t="0" r="0" b="0"/>
          <wp:wrapNone/>
          <wp:docPr id="6"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descr=""/>
                  <pic:cNvPicPr>
                    <a:picLocks noChangeAspect="1" noChangeArrowheads="1"/>
                  </pic:cNvPicPr>
                </pic:nvPicPr>
                <pic:blipFill>
                  <a:blip r:embed="rId3"/>
                  <a:stretch>
                    <a:fillRect/>
                  </a:stretch>
                </pic:blipFill>
                <pic:spPr bwMode="auto">
                  <a:xfrm>
                    <a:off x="0" y="0"/>
                    <a:ext cx="1275715" cy="808990"/>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ab/>
    </w:r>
  </w:p>
  <w:p>
    <w:pPr>
      <w:pStyle w:val="Normal1"/>
      <w:keepNext w:val="false"/>
      <w:keepLines w:val="false"/>
      <w:pageBreakBefore w:val="false"/>
      <w:widowControl w:val="false"/>
      <w:pBdr/>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Calle 4ª B # 36 – 00, San Fernando, Cali</w:t>
    </w:r>
  </w:p>
  <w:p>
    <w:pPr>
      <w:pStyle w:val="Normal1"/>
      <w:keepNext w:val="false"/>
      <w:keepLines w:val="false"/>
      <w:pageBreakBefore w:val="false"/>
      <w:widowControl w:val="false"/>
      <w:pBdr/>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drawing>
        <wp:inline distT="0" distB="0" distL="0" distR="0">
          <wp:extent cx="1295400" cy="1009650"/>
          <wp:effectExtent l="0" t="0" r="0" b="0"/>
          <wp:docPr id="4" name="image3.jpg"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g" descr="C:\Users\USUARIO\AppData\Local\Temp\Rar$DIa0.847\LogoGrises_SecSaludPública-03.jpg"/>
                  <pic:cNvPicPr>
                    <a:picLocks noChangeAspect="1" noChangeArrowheads="1"/>
                  </pic:cNvPicPr>
                </pic:nvPicPr>
                <pic:blipFill>
                  <a:blip r:embed="rId1"/>
                  <a:srcRect l="7759" t="11673" r="12389" b="14994"/>
                  <a:stretch>
                    <a:fillRect/>
                  </a:stretch>
                </pic:blipFill>
                <pic:spPr bwMode="auto">
                  <a:xfrm>
                    <a:off x="0" y="0"/>
                    <a:ext cx="1295400" cy="1009650"/>
                  </a:xfrm>
                  <a:prstGeom prst="rect">
                    <a:avLst/>
                  </a:prstGeom>
                </pic:spPr>
              </pic:pic>
            </a:graphicData>
          </a:graphic>
        </wp:inline>
      </w:drawing>
    </w:r>
    <w:r>
      <w:rPr>
        <w:rFonts w:eastAsia="Times New Roman" w:cs="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hdr>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es-CO" w:eastAsia="zh-CN" w:bidi="hi-IN"/>
      </w:rPr>
    </w:rPrDefault>
    <w:pPrDefault>
      <w:pPr>
        <w:suppressAutoHyphens w:val="true"/>
      </w:pPr>
    </w:pPrDefault>
  </w:docDefaults>
  <w:style w:type="paragraph" w:styleId="Normal" w:default="1">
    <w:name w:val="Normal"/>
    <w:qFormat/>
    <w:pPr>
      <w:widowControl w:val="false"/>
      <w:bidi w:val="0"/>
      <w:spacing w:before="0" w:after="0"/>
      <w:jc w:val="left"/>
    </w:pPr>
    <w:rPr>
      <w:rFonts w:eastAsia="Arial Unicode MS" w:ascii="Times New Roman" w:hAnsi="Times New Roman" w:cs="Lucida Sans"/>
      <w:color w:val="auto"/>
      <w:kern w:val="2"/>
      <w:sz w:val="24"/>
      <w:szCs w:val="24"/>
      <w:lang w:eastAsia="ar-SA" w:val="es-CO" w:bidi="hi-IN"/>
    </w:rPr>
  </w:style>
  <w:style w:type="paragraph" w:styleId="Ttulo1">
    <w:name w:val="Heading 1"/>
    <w:basedOn w:val="Normal1"/>
    <w:next w:val="Normal1"/>
    <w:qFormat/>
    <w:pPr>
      <w:keepNext w:val="true"/>
      <w:keepLines/>
      <w:pageBreakBefore w:val="false"/>
      <w:spacing w:lineRule="auto" w:line="240" w:before="480" w:after="120"/>
    </w:pPr>
    <w:rPr>
      <w:b/>
      <w:sz w:val="48"/>
      <w:szCs w:val="48"/>
    </w:rPr>
  </w:style>
  <w:style w:type="paragraph" w:styleId="Ttulo2">
    <w:name w:val="Heading 2"/>
    <w:basedOn w:val="Normal1"/>
    <w:next w:val="Normal1"/>
    <w:qFormat/>
    <w:pPr>
      <w:keepNext w:val="true"/>
      <w:keepLines/>
      <w:pageBreakBefore w:val="false"/>
      <w:spacing w:lineRule="auto" w:line="240" w:before="360" w:after="80"/>
    </w:pPr>
    <w:rPr>
      <w:b/>
      <w:sz w:val="36"/>
      <w:szCs w:val="36"/>
    </w:rPr>
  </w:style>
  <w:style w:type="paragraph" w:styleId="Ttulo3">
    <w:name w:val="Heading 3"/>
    <w:basedOn w:val="Normal1"/>
    <w:next w:val="Normal1"/>
    <w:qFormat/>
    <w:pPr>
      <w:keepNext w:val="true"/>
      <w:keepLines/>
      <w:pageBreakBefore w:val="false"/>
      <w:spacing w:lineRule="auto" w:line="240" w:before="280" w:after="80"/>
    </w:pPr>
    <w:rPr>
      <w:b/>
      <w:sz w:val="28"/>
      <w:szCs w:val="28"/>
    </w:rPr>
  </w:style>
  <w:style w:type="paragraph" w:styleId="Ttulo4">
    <w:name w:val="Heading 4"/>
    <w:basedOn w:val="Normal1"/>
    <w:next w:val="Normal1"/>
    <w:qFormat/>
    <w:pPr>
      <w:keepNext w:val="true"/>
      <w:keepLines/>
      <w:pageBreakBefore w:val="false"/>
      <w:spacing w:lineRule="auto" w:line="240" w:before="240" w:after="40"/>
    </w:pPr>
    <w:rPr>
      <w:b/>
      <w:sz w:val="24"/>
      <w:szCs w:val="24"/>
    </w:rPr>
  </w:style>
  <w:style w:type="paragraph" w:styleId="Ttulo5">
    <w:name w:val="Heading 5"/>
    <w:basedOn w:val="Normal1"/>
    <w:next w:val="Normal1"/>
    <w:qFormat/>
    <w:pPr>
      <w:keepNext w:val="true"/>
      <w:keepLines/>
      <w:pageBreakBefore w:val="false"/>
      <w:spacing w:lineRule="auto" w:line="240" w:before="220" w:after="40"/>
    </w:pPr>
    <w:rPr>
      <w:b/>
      <w:sz w:val="22"/>
      <w:szCs w:val="22"/>
    </w:rPr>
  </w:style>
  <w:style w:type="paragraph" w:styleId="Ttulo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basedOn w:val="DefaultParagraphFont"/>
    <w:uiPriority w:val="99"/>
    <w:unhideWhenUsed/>
    <w:rsid w:val="005201a6"/>
    <w:rPr>
      <w:color w:val="0563C1" w:themeColor="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1"/>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1"/>
    <w:qFormat/>
    <w:pPr>
      <w:suppressLineNumbers/>
    </w:pPr>
    <w:rPr>
      <w:rFonts w:cs="Tahoma"/>
    </w:rPr>
  </w:style>
  <w:style w:type="paragraph" w:styleId="Normal1" w:default="1">
    <w:name w:val="LO-normal"/>
    <w:qFormat/>
    <w:pPr>
      <w:widowControl w:val="fals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general">
    <w:name w:val="Title"/>
    <w:basedOn w:val="Normal1"/>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1"/>
    <w:qFormat/>
    <w:pPr>
      <w:suppressLineNumbers/>
      <w:spacing w:before="120" w:after="120"/>
    </w:pPr>
    <w:rPr>
      <w:rFonts w:cs="Arial"/>
      <w:i/>
      <w:iCs/>
    </w:rPr>
  </w:style>
  <w:style w:type="paragraph" w:styleId="Encabezado2" w:customStyle="1">
    <w:name w:val="Encabezado2"/>
    <w:basedOn w:val="Normal1"/>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1"/>
    <w:qFormat/>
    <w:pPr>
      <w:suppressLineNumbers/>
      <w:spacing w:before="120" w:after="120"/>
    </w:pPr>
    <w:rPr>
      <w:rFonts w:cs="Tahoma"/>
      <w:i/>
      <w:iCs/>
    </w:rPr>
  </w:style>
  <w:style w:type="paragraph" w:styleId="Encabezado1" w:customStyle="1">
    <w:name w:val="Encabezado1"/>
    <w:basedOn w:val="Normal1"/>
    <w:next w:val="Cuerpodetexto"/>
    <w:qFormat/>
    <w:pPr>
      <w:keepNext w:val="true"/>
      <w:spacing w:before="240" w:after="120"/>
    </w:pPr>
    <w:rPr>
      <w:rFonts w:ascii="Arial" w:hAnsi="Arial" w:cs="Tahoma"/>
      <w:sz w:val="28"/>
      <w:szCs w:val="28"/>
    </w:rPr>
  </w:style>
  <w:style w:type="paragraph" w:styleId="Cabeceraypie" w:customStyle="1">
    <w:name w:val="Cabecera y pie"/>
    <w:basedOn w:val="Normal1"/>
    <w:qFormat/>
    <w:pPr/>
    <w:rPr/>
  </w:style>
  <w:style w:type="paragraph" w:styleId="Cabecera">
    <w:name w:val="Header"/>
    <w:basedOn w:val="Normal1"/>
    <w:pPr>
      <w:suppressLineNumbers/>
      <w:tabs>
        <w:tab w:val="clear" w:pos="720"/>
        <w:tab w:val="center" w:pos="4818" w:leader="none"/>
        <w:tab w:val="right" w:pos="9637" w:leader="none"/>
      </w:tabs>
    </w:pPr>
    <w:rPr/>
  </w:style>
  <w:style w:type="paragraph" w:styleId="Piedepgina">
    <w:name w:val="Footer"/>
    <w:basedOn w:val="Normal1"/>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1"/>
    <w:unhideWhenUsed/>
    <w:qFormat/>
    <w:rsid w:val="00d75801"/>
    <w:pPr>
      <w:widowControl/>
      <w:suppressAutoHyphens w:val="false"/>
      <w:spacing w:beforeAutospacing="1" w:after="119"/>
    </w:pPr>
    <w:rPr>
      <w:rFonts w:eastAsia="Times New Roman"/>
      <w:kern w:val="0"/>
      <w:lang w:eastAsia="es-CO"/>
    </w:rPr>
  </w:style>
  <w:style w:type="paragraph" w:styleId="ListParagraph">
    <w:name w:val="List Paragraph"/>
    <w:basedOn w:val="Normal1"/>
    <w:uiPriority w:val="34"/>
    <w:qFormat/>
    <w:rsid w:val="00f00cea"/>
    <w:pPr>
      <w:spacing w:before="0" w:after="0"/>
      <w:ind w:left="720" w:hanging="0"/>
      <w:contextualSpacing/>
    </w:pPr>
    <w:rPr/>
  </w:style>
  <w:style w:type="paragraph" w:styleId="Subttu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jG8d//GNI2kBhpMTZNo+lzt86oQ==">CgMxLjAyCGguZ2pkZ3hzOAByITExUVRqaHdRckN0RTM2U0Roblp4RjhwbjVWSWNxdGRxbQ==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8</TotalTime>
  <Application>LibreOffice/7.0.3.1$Windows_X86_64 LibreOffice_project/d7547858d014d4cf69878db179d326fc3483e082</Application>
  <Pages>3</Pages>
  <Words>984</Words>
  <Characters>5672</Characters>
  <CharactersWithSpaces>6654</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2025-01-13T02:25:00Z</dcterms:created>
  <dc:creator>Alcaldia de Cali Gestion Documental</dc:creator>
  <dc:description/>
  <dc:language>es-CO</dc:language>
  <cp:lastModifiedBy/>
  <dcterms:modified xsi:type="dcterms:W3CDTF">2025-02-07T16:09:24Z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